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Kävlinge kommunfullmäktige</w:t>
      </w:r>
    </w:p>
    <w:p>
      <w:pPr>
        <w:pStyle w:val="Heading1"/>
      </w:pPr>
      <w:r>
        <w:t xml:space="preserve">Öppen data och digital medborgarservice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Kävlinge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Kävlinge saknar en öppen data-portal trots att många kommuner har det. Medborgarnas önskemål om bättre digital service framgår av kommunens medborgarenkät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Kävlinge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lansera en öppen data-portal senast 2027-12-31.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minst 10 vanliga e-tjänster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digital medborgarpanel för synpunkter.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digitaliseringsgraden i kommunstyrelsens verksamhetsberättelse.</w:t>
      </w:r>
    </w:p>
    <w:p>
      <w:pPr>
        <w:spacing w:before="360"/>
      </w:pPr>
    </w:p>
    <w:p>
      <w:r>
        <w:t xml:space="preserve">Kävlinge,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Kävlinge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2026-07-14T04:05:07.013Z</dcterms:created>
  <dcterms:modified xsi:type="dcterms:W3CDTF">2026-07-14T04:05:07.013Z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